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D4" w:rsidRDefault="002C5281">
      <w:pPr>
        <w:pStyle w:val="a9"/>
        <w:ind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Изображение государственного Герба Республики Казахстан</w:t>
      </w:r>
    </w:p>
    <w:p w:rsidR="007847D4" w:rsidRDefault="007847D4">
      <w:pPr>
        <w:pStyle w:val="a9"/>
        <w:ind w:firstLine="567"/>
        <w:rPr>
          <w:rFonts w:ascii="Times New Roman" w:hAnsi="Times New Roman" w:cs="Times New Roman"/>
          <w:b w:val="0"/>
        </w:rPr>
      </w:pPr>
    </w:p>
    <w:p w:rsidR="007847D4" w:rsidRDefault="007847D4">
      <w:pPr>
        <w:pStyle w:val="a9"/>
        <w:ind w:firstLine="567"/>
        <w:rPr>
          <w:rFonts w:ascii="Times New Roman" w:hAnsi="Times New Roman" w:cs="Times New Roman"/>
          <w:b w:val="0"/>
          <w:bCs w:val="0"/>
        </w:rPr>
      </w:pPr>
    </w:p>
    <w:p w:rsidR="007847D4" w:rsidRDefault="002C5281">
      <w:pPr>
        <w:pStyle w:val="ad"/>
        <w:pBdr>
          <w:bottom w:val="single" w:sz="4" w:space="1" w:color="auto"/>
        </w:pBdr>
        <w:ind w:firstLine="567"/>
        <w:rPr>
          <w:szCs w:val="28"/>
        </w:rPr>
      </w:pPr>
      <w:r>
        <w:rPr>
          <w:szCs w:val="28"/>
        </w:rPr>
        <w:t>НАЦИОНАЛЬНЫЙ  СТАНДАРТ  РЕСПУБЛИКИ  КАЗАХСТАН</w:t>
      </w:r>
    </w:p>
    <w:p w:rsidR="007847D4" w:rsidRDefault="007847D4">
      <w:pPr>
        <w:ind w:firstLine="567"/>
        <w:jc w:val="center"/>
        <w:rPr>
          <w:b/>
          <w:bCs/>
          <w:szCs w:val="28"/>
        </w:rPr>
      </w:pPr>
    </w:p>
    <w:p w:rsidR="007847D4" w:rsidRDefault="007847D4">
      <w:pPr>
        <w:ind w:firstLine="567"/>
        <w:jc w:val="center"/>
        <w:rPr>
          <w:b/>
          <w:bCs/>
          <w:szCs w:val="28"/>
        </w:rPr>
      </w:pPr>
    </w:p>
    <w:p w:rsidR="007847D4" w:rsidRDefault="007847D4">
      <w:pPr>
        <w:rPr>
          <w:szCs w:val="28"/>
        </w:rPr>
      </w:pPr>
    </w:p>
    <w:p w:rsidR="007847D4" w:rsidRDefault="007847D4">
      <w:pPr>
        <w:ind w:firstLine="567"/>
        <w:rPr>
          <w:szCs w:val="28"/>
        </w:rPr>
      </w:pPr>
    </w:p>
    <w:p w:rsidR="007847D4" w:rsidRDefault="007847D4">
      <w:pPr>
        <w:ind w:firstLine="567"/>
        <w:rPr>
          <w:szCs w:val="28"/>
        </w:rPr>
      </w:pPr>
    </w:p>
    <w:p w:rsidR="007847D4" w:rsidRDefault="007847D4">
      <w:pPr>
        <w:ind w:firstLine="567"/>
        <w:rPr>
          <w:szCs w:val="28"/>
        </w:rPr>
      </w:pPr>
    </w:p>
    <w:p w:rsidR="007847D4" w:rsidRDefault="002C5281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ОБОРУДОВАНИЕ БАСКЕТБОЛЬНОЕ </w:t>
      </w:r>
    </w:p>
    <w:p w:rsidR="007847D4" w:rsidRDefault="002C5281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Функциональные требования, требования безопасности</w:t>
      </w:r>
    </w:p>
    <w:p w:rsidR="007847D4" w:rsidRDefault="007847D4">
      <w:pPr>
        <w:spacing w:line="276" w:lineRule="auto"/>
        <w:jc w:val="center"/>
        <w:rPr>
          <w:b/>
          <w:szCs w:val="28"/>
        </w:rPr>
      </w:pPr>
    </w:p>
    <w:p w:rsidR="007847D4" w:rsidRDefault="007847D4">
      <w:pPr>
        <w:jc w:val="center"/>
        <w:rPr>
          <w:b/>
          <w:bCs/>
          <w:szCs w:val="28"/>
        </w:rPr>
      </w:pPr>
    </w:p>
    <w:p w:rsidR="007847D4" w:rsidRDefault="007847D4">
      <w:pPr>
        <w:rPr>
          <w:szCs w:val="28"/>
        </w:rPr>
      </w:pPr>
    </w:p>
    <w:p w:rsidR="007847D4" w:rsidRDefault="002C5281">
      <w:pPr>
        <w:jc w:val="center"/>
        <w:rPr>
          <w:b/>
          <w:bCs/>
          <w:szCs w:val="28"/>
          <w:lang w:val="fr-FR"/>
        </w:rPr>
      </w:pPr>
      <w:proofErr w:type="gramStart"/>
      <w:r>
        <w:rPr>
          <w:b/>
          <w:bCs/>
          <w:szCs w:val="28"/>
        </w:rPr>
        <w:t>СТ</w:t>
      </w:r>
      <w:proofErr w:type="gramEnd"/>
      <w:r>
        <w:rPr>
          <w:b/>
          <w:bCs/>
          <w:szCs w:val="28"/>
          <w:lang w:val="fr-FR"/>
        </w:rPr>
        <w:t xml:space="preserve"> </w:t>
      </w:r>
      <w:r>
        <w:rPr>
          <w:b/>
          <w:bCs/>
          <w:szCs w:val="28"/>
        </w:rPr>
        <w:t>РК</w:t>
      </w:r>
      <w:r>
        <w:rPr>
          <w:b/>
          <w:bCs/>
          <w:szCs w:val="28"/>
          <w:lang w:val="en-US"/>
        </w:rPr>
        <w:t xml:space="preserve"> </w:t>
      </w:r>
      <w:r>
        <w:rPr>
          <w:b/>
          <w:bCs/>
          <w:szCs w:val="28"/>
          <w:lang w:val="fr-FR"/>
        </w:rPr>
        <w:t>EN 1270:2005</w:t>
      </w:r>
    </w:p>
    <w:p w:rsidR="007847D4" w:rsidRDefault="007847D4">
      <w:pPr>
        <w:jc w:val="center"/>
        <w:rPr>
          <w:b/>
          <w:bCs/>
          <w:szCs w:val="28"/>
          <w:lang w:val="en-US"/>
        </w:rPr>
      </w:pPr>
    </w:p>
    <w:p w:rsidR="007847D4" w:rsidRDefault="007847D4">
      <w:pPr>
        <w:jc w:val="center"/>
        <w:rPr>
          <w:b/>
          <w:bCs/>
          <w:szCs w:val="28"/>
          <w:lang w:val="en-US"/>
        </w:rPr>
      </w:pPr>
    </w:p>
    <w:p w:rsidR="007847D4" w:rsidRDefault="007847D4">
      <w:pPr>
        <w:jc w:val="center"/>
        <w:rPr>
          <w:b/>
          <w:bCs/>
          <w:szCs w:val="28"/>
          <w:lang w:val="en-US"/>
        </w:rPr>
      </w:pPr>
    </w:p>
    <w:p w:rsidR="007847D4" w:rsidRDefault="002C5281">
      <w:pPr>
        <w:autoSpaceDE w:val="0"/>
        <w:autoSpaceDN w:val="0"/>
        <w:adjustRightInd w:val="0"/>
        <w:jc w:val="center"/>
        <w:rPr>
          <w:i/>
          <w:szCs w:val="28"/>
          <w:lang w:val="en-US"/>
        </w:rPr>
      </w:pPr>
      <w:r>
        <w:rPr>
          <w:i/>
          <w:szCs w:val="28"/>
          <w:lang w:val="en-US"/>
        </w:rPr>
        <w:t xml:space="preserve">(EN 1270:2005 Playing field equipment - </w:t>
      </w:r>
      <w:r>
        <w:rPr>
          <w:i/>
          <w:szCs w:val="28"/>
          <w:lang w:val="en-US"/>
        </w:rPr>
        <w:t>basketball equipment - Functional and safety requirements, Test methods, IDT)</w:t>
      </w:r>
    </w:p>
    <w:p w:rsidR="007847D4" w:rsidRDefault="007847D4">
      <w:pPr>
        <w:rPr>
          <w:szCs w:val="28"/>
          <w:lang w:val="en-US"/>
        </w:rPr>
      </w:pPr>
    </w:p>
    <w:p w:rsidR="007847D4" w:rsidRDefault="007847D4">
      <w:pPr>
        <w:rPr>
          <w:szCs w:val="28"/>
          <w:lang w:val="en-US"/>
        </w:rPr>
      </w:pPr>
    </w:p>
    <w:p w:rsidR="007847D4" w:rsidRDefault="007847D4">
      <w:pPr>
        <w:rPr>
          <w:szCs w:val="28"/>
          <w:lang w:val="en-US"/>
        </w:rPr>
      </w:pPr>
    </w:p>
    <w:p w:rsidR="007847D4" w:rsidRDefault="007847D4">
      <w:pPr>
        <w:rPr>
          <w:szCs w:val="28"/>
          <w:lang w:val="en-US"/>
        </w:rPr>
      </w:pPr>
    </w:p>
    <w:p w:rsidR="007847D4" w:rsidRDefault="007847D4">
      <w:pPr>
        <w:rPr>
          <w:szCs w:val="28"/>
          <w:lang w:val="en-US"/>
        </w:rPr>
      </w:pPr>
    </w:p>
    <w:p w:rsidR="007847D4" w:rsidRDefault="007847D4">
      <w:pPr>
        <w:rPr>
          <w:szCs w:val="28"/>
          <w:lang w:val="en-US"/>
        </w:rPr>
      </w:pPr>
    </w:p>
    <w:p w:rsidR="007847D4" w:rsidRDefault="007847D4">
      <w:pPr>
        <w:rPr>
          <w:szCs w:val="28"/>
          <w:lang w:val="en-US"/>
        </w:rPr>
      </w:pPr>
    </w:p>
    <w:p w:rsidR="007847D4" w:rsidRDefault="002C5281">
      <w:pPr>
        <w:jc w:val="center"/>
        <w:rPr>
          <w:i/>
          <w:szCs w:val="28"/>
        </w:rPr>
      </w:pPr>
      <w:r>
        <w:rPr>
          <w:i/>
          <w:szCs w:val="28"/>
        </w:rPr>
        <w:t>Настоящий проект стандарта не подлежит</w:t>
      </w:r>
    </w:p>
    <w:p w:rsidR="007847D4" w:rsidRDefault="002C5281">
      <w:pPr>
        <w:jc w:val="center"/>
        <w:rPr>
          <w:i/>
          <w:szCs w:val="28"/>
        </w:rPr>
      </w:pPr>
      <w:r>
        <w:rPr>
          <w:i/>
          <w:szCs w:val="28"/>
        </w:rPr>
        <w:t>применению до его утверждения</w:t>
      </w:r>
    </w:p>
    <w:p w:rsidR="007847D4" w:rsidRDefault="007847D4">
      <w:pPr>
        <w:rPr>
          <w:szCs w:val="28"/>
        </w:rPr>
      </w:pPr>
    </w:p>
    <w:p w:rsidR="007847D4" w:rsidRDefault="007847D4">
      <w:pPr>
        <w:rPr>
          <w:szCs w:val="28"/>
        </w:rPr>
      </w:pPr>
    </w:p>
    <w:p w:rsidR="007847D4" w:rsidRDefault="007847D4">
      <w:pPr>
        <w:rPr>
          <w:szCs w:val="28"/>
        </w:rPr>
      </w:pPr>
    </w:p>
    <w:p w:rsidR="007847D4" w:rsidRDefault="007847D4">
      <w:pPr>
        <w:rPr>
          <w:szCs w:val="28"/>
        </w:rPr>
      </w:pPr>
    </w:p>
    <w:p w:rsidR="007847D4" w:rsidRDefault="007847D4">
      <w:pPr>
        <w:rPr>
          <w:szCs w:val="28"/>
        </w:rPr>
      </w:pPr>
    </w:p>
    <w:p w:rsidR="007847D4" w:rsidRDefault="007847D4">
      <w:pPr>
        <w:rPr>
          <w:szCs w:val="28"/>
          <w:lang w:val="fr-FR"/>
        </w:rPr>
      </w:pPr>
    </w:p>
    <w:p w:rsidR="007847D4" w:rsidRDefault="002C528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Комитет технического регулирования и метрологии</w:t>
      </w:r>
    </w:p>
    <w:p w:rsidR="007847D4" w:rsidRDefault="002C5281">
      <w:pPr>
        <w:jc w:val="center"/>
        <w:rPr>
          <w:b/>
          <w:bCs/>
          <w:szCs w:val="28"/>
        </w:rPr>
      </w:pPr>
      <w:r>
        <w:rPr>
          <w:b/>
          <w:color w:val="000000" w:themeColor="text1"/>
          <w:szCs w:val="28"/>
        </w:rPr>
        <w:t xml:space="preserve">Министерства торговли и интеграции                                       </w:t>
      </w:r>
      <w:r>
        <w:rPr>
          <w:b/>
          <w:bCs/>
          <w:szCs w:val="28"/>
        </w:rPr>
        <w:t xml:space="preserve">                              Республики Казахстан </w:t>
      </w:r>
    </w:p>
    <w:p w:rsidR="007847D4" w:rsidRDefault="002C528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(Госстандарт)</w:t>
      </w:r>
    </w:p>
    <w:p w:rsidR="007847D4" w:rsidRDefault="007847D4">
      <w:pPr>
        <w:jc w:val="center"/>
        <w:rPr>
          <w:b/>
          <w:bCs/>
          <w:szCs w:val="28"/>
        </w:rPr>
      </w:pPr>
    </w:p>
    <w:p w:rsidR="007847D4" w:rsidRDefault="002C528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Астана</w:t>
      </w:r>
    </w:p>
    <w:p w:rsidR="007847D4" w:rsidRDefault="002C5281">
      <w:pPr>
        <w:pageBreakBefore/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Предисловие</w:t>
      </w:r>
    </w:p>
    <w:p w:rsidR="007847D4" w:rsidRDefault="007847D4">
      <w:pPr>
        <w:ind w:firstLine="567"/>
        <w:jc w:val="center"/>
        <w:rPr>
          <w:b/>
          <w:bCs/>
          <w:szCs w:val="28"/>
        </w:rPr>
      </w:pPr>
    </w:p>
    <w:p w:rsidR="007847D4" w:rsidRDefault="002C528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proofErr w:type="gramStart"/>
      <w:r>
        <w:rPr>
          <w:b/>
          <w:szCs w:val="28"/>
        </w:rPr>
        <w:t>ПОДГОТОВЛЕН</w:t>
      </w:r>
      <w:proofErr w:type="gramEnd"/>
      <w:r>
        <w:rPr>
          <w:b/>
          <w:szCs w:val="28"/>
        </w:rPr>
        <w:t xml:space="preserve"> И ВНЕСЕН</w:t>
      </w:r>
      <w:r>
        <w:rPr>
          <w:szCs w:val="28"/>
        </w:rPr>
        <w:t xml:space="preserve"> Казахстанским институтом стандартизации и метрологии совместно с Т</w:t>
      </w:r>
      <w:r w:rsidRPr="002C5281">
        <w:rPr>
          <w:szCs w:val="28"/>
        </w:rPr>
        <w:t>ехнически</w:t>
      </w:r>
      <w:r>
        <w:rPr>
          <w:szCs w:val="28"/>
        </w:rPr>
        <w:t>м</w:t>
      </w:r>
      <w:r w:rsidRPr="002C5281">
        <w:rPr>
          <w:szCs w:val="28"/>
        </w:rPr>
        <w:t xml:space="preserve"> комитет</w:t>
      </w:r>
      <w:r>
        <w:rPr>
          <w:szCs w:val="28"/>
        </w:rPr>
        <w:t>ом</w:t>
      </w:r>
      <w:r w:rsidRPr="002C5281">
        <w:rPr>
          <w:szCs w:val="28"/>
        </w:rPr>
        <w:t xml:space="preserve"> по стандартизации </w:t>
      </w:r>
      <w:r>
        <w:rPr>
          <w:szCs w:val="28"/>
        </w:rPr>
        <w:t>ТК</w:t>
      </w:r>
      <w:r w:rsidRPr="002C5281">
        <w:rPr>
          <w:szCs w:val="28"/>
        </w:rPr>
        <w:t xml:space="preserve"> </w:t>
      </w:r>
      <w:r>
        <w:rPr>
          <w:szCs w:val="28"/>
        </w:rPr>
        <w:t>118 «Опасные технические устройства»</w:t>
      </w:r>
    </w:p>
    <w:p w:rsidR="007847D4" w:rsidRDefault="007847D4">
      <w:pPr>
        <w:widowControl w:val="0"/>
        <w:tabs>
          <w:tab w:val="left" w:pos="993"/>
        </w:tabs>
        <w:ind w:firstLine="567"/>
        <w:rPr>
          <w:szCs w:val="28"/>
        </w:rPr>
      </w:pPr>
    </w:p>
    <w:p w:rsidR="007847D4" w:rsidRDefault="002C528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b/>
          <w:szCs w:val="28"/>
        </w:rPr>
        <w:t>УТВЕРЖДЕН И ВВЕДЕН В ДЕЙСТВИЕ</w:t>
      </w:r>
      <w:r>
        <w:rPr>
          <w:szCs w:val="28"/>
        </w:rPr>
        <w:t xml:space="preserve"> </w:t>
      </w:r>
      <w:bookmarkStart w:id="0" w:name="OLE_LINK60"/>
      <w:bookmarkStart w:id="1" w:name="OLE_LINK31"/>
      <w:bookmarkStart w:id="2" w:name="OLE_LINK59"/>
      <w:bookmarkStart w:id="3" w:name="OLE_LINK30"/>
      <w:bookmarkStart w:id="4" w:name="OLE_LINK32"/>
      <w:bookmarkStart w:id="5" w:name="OLE_LINK33"/>
      <w:r>
        <w:rPr>
          <w:bCs/>
          <w:color w:val="000000"/>
          <w:szCs w:val="28"/>
        </w:rPr>
        <w:t xml:space="preserve">Приказом Председателя Комитета технического регулирования и </w:t>
      </w:r>
      <w:r>
        <w:rPr>
          <w:bCs/>
          <w:color w:val="000000" w:themeColor="text1"/>
          <w:szCs w:val="28"/>
        </w:rPr>
        <w:t xml:space="preserve">метрологии </w:t>
      </w:r>
      <w:r>
        <w:rPr>
          <w:color w:val="000000" w:themeColor="text1"/>
          <w:szCs w:val="28"/>
        </w:rPr>
        <w:t>Министерства торговли и интеграции</w:t>
      </w:r>
      <w:r>
        <w:rPr>
          <w:szCs w:val="28"/>
        </w:rPr>
        <w:t xml:space="preserve"> Республики Казахстан</w:t>
      </w:r>
      <w:r>
        <w:rPr>
          <w:bCs/>
          <w:color w:val="000000"/>
          <w:szCs w:val="28"/>
        </w:rPr>
        <w:t xml:space="preserve"> </w:t>
      </w:r>
      <w:proofErr w:type="gramStart"/>
      <w:r>
        <w:rPr>
          <w:bCs/>
          <w:color w:val="000000"/>
          <w:szCs w:val="28"/>
        </w:rPr>
        <w:t>от</w:t>
      </w:r>
      <w:proofErr w:type="gramEnd"/>
      <w:r>
        <w:rPr>
          <w:bCs/>
          <w:color w:val="000000"/>
          <w:szCs w:val="28"/>
        </w:rPr>
        <w:t xml:space="preserve"> _________ № ________</w:t>
      </w:r>
      <w:bookmarkEnd w:id="0"/>
      <w:bookmarkEnd w:id="1"/>
      <w:bookmarkEnd w:id="2"/>
      <w:bookmarkEnd w:id="3"/>
      <w:bookmarkEnd w:id="4"/>
      <w:bookmarkEnd w:id="5"/>
    </w:p>
    <w:p w:rsidR="007847D4" w:rsidRDefault="007847D4">
      <w:pPr>
        <w:widowControl w:val="0"/>
        <w:tabs>
          <w:tab w:val="left" w:pos="993"/>
        </w:tabs>
        <w:rPr>
          <w:szCs w:val="28"/>
        </w:rPr>
      </w:pPr>
    </w:p>
    <w:p w:rsidR="007847D4" w:rsidRDefault="002C528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szCs w:val="28"/>
        </w:rPr>
        <w:t>Настоящий</w:t>
      </w:r>
      <w:r w:rsidRPr="002C5281">
        <w:rPr>
          <w:szCs w:val="28"/>
        </w:rPr>
        <w:t xml:space="preserve"> </w:t>
      </w:r>
      <w:r>
        <w:rPr>
          <w:szCs w:val="28"/>
        </w:rPr>
        <w:t>стандарт</w:t>
      </w:r>
      <w:r w:rsidRPr="002C5281">
        <w:rPr>
          <w:szCs w:val="28"/>
        </w:rPr>
        <w:t xml:space="preserve"> </w:t>
      </w:r>
      <w:r>
        <w:rPr>
          <w:szCs w:val="28"/>
        </w:rPr>
        <w:t>идентичен</w:t>
      </w:r>
      <w:r w:rsidRPr="002C5281">
        <w:rPr>
          <w:szCs w:val="28"/>
        </w:rPr>
        <w:t xml:space="preserve"> </w:t>
      </w:r>
      <w:r>
        <w:rPr>
          <w:szCs w:val="28"/>
        </w:rPr>
        <w:t>международному</w:t>
      </w:r>
      <w:r w:rsidRPr="002C5281">
        <w:rPr>
          <w:szCs w:val="28"/>
        </w:rPr>
        <w:t xml:space="preserve"> </w:t>
      </w:r>
      <w:r>
        <w:rPr>
          <w:szCs w:val="28"/>
        </w:rPr>
        <w:t>стандарту</w:t>
      </w:r>
      <w:r w:rsidRPr="002C5281">
        <w:rPr>
          <w:szCs w:val="28"/>
        </w:rPr>
        <w:t xml:space="preserve"> </w:t>
      </w:r>
      <w:bookmarkStart w:id="6" w:name="OLE_LINK7"/>
      <w:bookmarkStart w:id="7" w:name="OLE_LINK6"/>
      <w:r>
        <w:rPr>
          <w:i/>
          <w:szCs w:val="28"/>
          <w:lang w:val="en-US"/>
        </w:rPr>
        <w:t>EN</w:t>
      </w:r>
      <w:r w:rsidRPr="002C5281">
        <w:rPr>
          <w:i/>
          <w:szCs w:val="28"/>
        </w:rPr>
        <w:t xml:space="preserve"> 1270: 2005 </w:t>
      </w:r>
      <w:r>
        <w:rPr>
          <w:i/>
          <w:szCs w:val="28"/>
          <w:lang w:val="en-US"/>
        </w:rPr>
        <w:t>Playing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field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equipment</w:t>
      </w:r>
      <w:r w:rsidRPr="002C5281">
        <w:rPr>
          <w:i/>
          <w:szCs w:val="28"/>
        </w:rPr>
        <w:t xml:space="preserve"> - </w:t>
      </w:r>
      <w:r>
        <w:rPr>
          <w:i/>
          <w:szCs w:val="28"/>
          <w:lang w:val="en-US"/>
        </w:rPr>
        <w:t>Basketball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equipment</w:t>
      </w:r>
      <w:r w:rsidRPr="002C5281">
        <w:rPr>
          <w:i/>
          <w:szCs w:val="28"/>
        </w:rPr>
        <w:t xml:space="preserve"> - </w:t>
      </w:r>
      <w:r>
        <w:rPr>
          <w:i/>
          <w:szCs w:val="28"/>
          <w:lang w:val="en-US"/>
        </w:rPr>
        <w:t>Functional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and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safety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requirements</w:t>
      </w:r>
      <w:r w:rsidRPr="002C5281">
        <w:rPr>
          <w:i/>
          <w:szCs w:val="28"/>
        </w:rPr>
        <w:t xml:space="preserve">, </w:t>
      </w:r>
      <w:r>
        <w:rPr>
          <w:i/>
          <w:szCs w:val="28"/>
          <w:lang w:val="en-US"/>
        </w:rPr>
        <w:t>test</w:t>
      </w:r>
      <w:r w:rsidRPr="002C5281">
        <w:rPr>
          <w:i/>
          <w:szCs w:val="28"/>
        </w:rPr>
        <w:t xml:space="preserve"> </w:t>
      </w:r>
      <w:r>
        <w:rPr>
          <w:i/>
          <w:szCs w:val="28"/>
          <w:lang w:val="en-US"/>
        </w:rPr>
        <w:t>methods</w:t>
      </w:r>
      <w:r w:rsidRPr="002C5281">
        <w:rPr>
          <w:szCs w:val="28"/>
        </w:rPr>
        <w:t xml:space="preserve"> (</w:t>
      </w:r>
      <w:bookmarkEnd w:id="6"/>
      <w:bookmarkEnd w:id="7"/>
      <w:r>
        <w:rPr>
          <w:szCs w:val="28"/>
        </w:rPr>
        <w:t>Оборудование для игровых площадок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</w:t>
      </w:r>
      <w:proofErr w:type="gramEnd"/>
      <w:r>
        <w:rPr>
          <w:szCs w:val="28"/>
        </w:rPr>
        <w:t xml:space="preserve">аскетбольное оборудование. функциональные требования </w:t>
      </w:r>
      <w:r>
        <w:rPr>
          <w:szCs w:val="28"/>
        </w:rPr>
        <w:t xml:space="preserve">и требования безопасности. </w:t>
      </w:r>
      <w:proofErr w:type="gramStart"/>
      <w:r>
        <w:rPr>
          <w:szCs w:val="28"/>
        </w:rPr>
        <w:t>Методы испытаний)</w:t>
      </w:r>
      <w:proofErr w:type="gramEnd"/>
    </w:p>
    <w:p w:rsidR="007847D4" w:rsidRDefault="002C5281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 стандарт разработан CEN/</w:t>
      </w:r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 xml:space="preserve">К 136 «Спортивные, игровые и другие развлекательные объекты, и оборудование», секретариат которого находится в ведении DIN.  </w:t>
      </w:r>
    </w:p>
    <w:p w:rsidR="007847D4" w:rsidRDefault="002C5281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Перевод с английского языка (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>).</w:t>
      </w:r>
    </w:p>
    <w:p w:rsidR="007847D4" w:rsidRDefault="002C5281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</w:t>
      </w:r>
      <w:r>
        <w:rPr>
          <w:sz w:val="28"/>
          <w:szCs w:val="28"/>
        </w:rPr>
        <w:t xml:space="preserve">экземпляр международного стандарта, на основе которого подготовлен </w:t>
      </w:r>
      <w:r>
        <w:rPr>
          <w:bCs/>
          <w:sz w:val="28"/>
          <w:szCs w:val="28"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7847D4" w:rsidRDefault="002C5281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Официальной версией является текст на государственном и р</w:t>
      </w:r>
      <w:r>
        <w:rPr>
          <w:sz w:val="28"/>
          <w:szCs w:val="28"/>
        </w:rPr>
        <w:t>усском языке</w:t>
      </w:r>
    </w:p>
    <w:p w:rsidR="007847D4" w:rsidRDefault="002C5281">
      <w:pPr>
        <w:pStyle w:val="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:rsidR="007847D4" w:rsidRDefault="002C5281">
      <w:pPr>
        <w:shd w:val="clear" w:color="auto" w:fill="FFFFFF"/>
        <w:ind w:firstLine="567"/>
        <w:rPr>
          <w:szCs w:val="28"/>
        </w:rPr>
      </w:pPr>
      <w:r>
        <w:rPr>
          <w:szCs w:val="28"/>
        </w:rPr>
        <w:t>Степень соответствия – идентичная (</w:t>
      </w:r>
      <w:r>
        <w:rPr>
          <w:szCs w:val="28"/>
          <w:lang w:val="en-US"/>
        </w:rPr>
        <w:t>IDT</w:t>
      </w:r>
      <w:r>
        <w:rPr>
          <w:szCs w:val="28"/>
        </w:rPr>
        <w:t>).</w:t>
      </w:r>
    </w:p>
    <w:p w:rsidR="007847D4" w:rsidRDefault="007847D4">
      <w:pPr>
        <w:shd w:val="clear" w:color="auto" w:fill="FFFFFF"/>
        <w:ind w:firstLine="567"/>
        <w:rPr>
          <w:szCs w:val="28"/>
        </w:rPr>
      </w:pPr>
    </w:p>
    <w:p w:rsidR="007847D4" w:rsidRDefault="002C528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szCs w:val="28"/>
        </w:rPr>
        <w:t>В настоящем стандарте реализованы нормы Закона Республики Казахстан «О станд</w:t>
      </w:r>
      <w:r>
        <w:rPr>
          <w:szCs w:val="28"/>
        </w:rPr>
        <w:t>артизации» от 5 октября 2018 года № 183-VI</w:t>
      </w:r>
    </w:p>
    <w:p w:rsidR="007847D4" w:rsidRDefault="002C5281">
      <w:pPr>
        <w:widowControl w:val="0"/>
        <w:numPr>
          <w:ilvl w:val="0"/>
          <w:numId w:val="1"/>
        </w:numPr>
        <w:spacing w:before="240"/>
        <w:ind w:hanging="513"/>
        <w:rPr>
          <w:b/>
          <w:szCs w:val="28"/>
        </w:rPr>
      </w:pPr>
      <w:r>
        <w:rPr>
          <w:b/>
          <w:szCs w:val="28"/>
        </w:rPr>
        <w:t>ВВЕДЕН    ВПЕРВЫЕ</w:t>
      </w:r>
    </w:p>
    <w:p w:rsidR="007847D4" w:rsidRDefault="007847D4">
      <w:pPr>
        <w:ind w:firstLine="567"/>
        <w:rPr>
          <w:szCs w:val="28"/>
        </w:rPr>
      </w:pPr>
    </w:p>
    <w:p w:rsidR="007847D4" w:rsidRDefault="007847D4">
      <w:pPr>
        <w:ind w:firstLine="567"/>
        <w:rPr>
          <w:szCs w:val="28"/>
        </w:rPr>
      </w:pPr>
    </w:p>
    <w:p w:rsidR="007847D4" w:rsidRDefault="007847D4">
      <w:pPr>
        <w:ind w:firstLine="567"/>
        <w:rPr>
          <w:szCs w:val="28"/>
        </w:rPr>
      </w:pPr>
    </w:p>
    <w:p w:rsidR="007847D4" w:rsidRDefault="002C5281">
      <w:pPr>
        <w:shd w:val="clear" w:color="auto" w:fill="FFFFFF"/>
        <w:ind w:firstLine="567"/>
        <w:rPr>
          <w:i/>
          <w:color w:val="000000"/>
          <w:szCs w:val="28"/>
          <w:lang w:val="kk-KZ"/>
        </w:rPr>
      </w:pPr>
      <w:r>
        <w:rPr>
          <w:bCs/>
          <w:i/>
          <w:color w:val="000000"/>
          <w:szCs w:val="28"/>
        </w:rPr>
        <w:t xml:space="preserve">Информация об изменениях к настоящему стандарту </w:t>
      </w:r>
      <w:r>
        <w:rPr>
          <w:bCs/>
          <w:i/>
          <w:color w:val="000000"/>
          <w:szCs w:val="28"/>
        </w:rPr>
        <w:t xml:space="preserve">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В случае </w:t>
      </w:r>
      <w:r>
        <w:rPr>
          <w:bCs/>
          <w:i/>
          <w:color w:val="000000"/>
          <w:szCs w:val="28"/>
        </w:rPr>
        <w:lastRenderedPageBreak/>
        <w:t>пересмотра (замены) или отмены настоящего ста</w:t>
      </w:r>
      <w:r>
        <w:rPr>
          <w:bCs/>
          <w:i/>
          <w:color w:val="000000"/>
          <w:szCs w:val="28"/>
        </w:rPr>
        <w:t>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2C5281" w:rsidRDefault="002C5281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2C5281" w:rsidRDefault="002C5281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2C5281" w:rsidRDefault="002C5281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7847D4" w:rsidRDefault="007847D4">
      <w:pPr>
        <w:shd w:val="clear" w:color="auto" w:fill="FFFFFF"/>
        <w:ind w:firstLine="567"/>
        <w:rPr>
          <w:i/>
          <w:iCs/>
          <w:color w:val="000000"/>
          <w:szCs w:val="28"/>
          <w:lang w:val="kk-KZ"/>
        </w:rPr>
      </w:pPr>
    </w:p>
    <w:p w:rsidR="007847D4" w:rsidRDefault="002C5281">
      <w:pPr>
        <w:pStyle w:val="a7"/>
        <w:widowControl/>
        <w:tabs>
          <w:tab w:val="left" w:pos="709"/>
        </w:tabs>
        <w:autoSpaceDE/>
        <w:adjustRightInd/>
        <w:spacing w:line="240" w:lineRule="auto"/>
        <w:ind w:firstLine="567"/>
        <w:rPr>
          <w:b/>
        </w:rPr>
      </w:pPr>
      <w:r>
        <w:rPr>
          <w:rFonts w:ascii="Times New Roman" w:hAnsi="Times New Roman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>
        <w:rPr>
          <w:rFonts w:ascii="Times New Roman" w:hAnsi="Times New Roman" w:cs="Times New Roman"/>
          <w:color w:val="000000" w:themeColor="text1"/>
        </w:rPr>
        <w:t>Министерства торговли и интеграции</w:t>
      </w:r>
      <w:r>
        <w:rPr>
          <w:rFonts w:ascii="Times New Roman" w:hAnsi="Times New Roman"/>
        </w:rPr>
        <w:t xml:space="preserve"> Республики Казахстан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5"/>
        <w:gridCol w:w="7946"/>
        <w:gridCol w:w="634"/>
      </w:tblGrid>
      <w:tr w:rsidR="007847D4">
        <w:tc>
          <w:tcPr>
            <w:tcW w:w="8721" w:type="dxa"/>
            <w:gridSpan w:val="2"/>
          </w:tcPr>
          <w:p w:rsidR="007847D4" w:rsidRDefault="002C5281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</w:rPr>
            </w:pPr>
            <w:r>
              <w:rPr>
                <w:rFonts w:eastAsia="SimSun"/>
                <w:b/>
                <w:bCs/>
                <w:color w:val="000000"/>
                <w:szCs w:val="28"/>
              </w:rPr>
              <w:lastRenderedPageBreak/>
              <w:t>Содержание</w:t>
            </w:r>
          </w:p>
          <w:p w:rsidR="007847D4" w:rsidRDefault="007847D4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  <w:szCs w:val="28"/>
              </w:rPr>
            </w:pPr>
          </w:p>
        </w:tc>
        <w:tc>
          <w:tcPr>
            <w:tcW w:w="634" w:type="dxa"/>
          </w:tcPr>
          <w:p w:rsidR="007847D4" w:rsidRDefault="007847D4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</w:p>
        </w:tc>
      </w:tr>
      <w:tr w:rsidR="007847D4">
        <w:tc>
          <w:tcPr>
            <w:tcW w:w="8721" w:type="dxa"/>
            <w:gridSpan w:val="2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Предисловие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5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1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color w:val="000000"/>
                <w:szCs w:val="28"/>
              </w:rPr>
              <w:t>Область применения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6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2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  <w:lang w:val="kk-KZ"/>
              </w:rPr>
              <w:t>Нормативные ссылки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6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3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Требования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6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4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Требования к безопасности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14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5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Методы испытаний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17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6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Инструкции по применению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19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7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Предупреждающая табличка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19</w:t>
            </w:r>
          </w:p>
        </w:tc>
      </w:tr>
      <w:tr w:rsidR="007847D4">
        <w:tc>
          <w:tcPr>
            <w:tcW w:w="775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8</w:t>
            </w:r>
          </w:p>
        </w:tc>
        <w:tc>
          <w:tcPr>
            <w:tcW w:w="7946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Маркировка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19</w:t>
            </w:r>
          </w:p>
        </w:tc>
      </w:tr>
      <w:tr w:rsidR="007847D4">
        <w:tc>
          <w:tcPr>
            <w:tcW w:w="8721" w:type="dxa"/>
            <w:gridSpan w:val="2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Приложение</w:t>
            </w:r>
            <w:proofErr w:type="gramStart"/>
            <w:r>
              <w:rPr>
                <w:rFonts w:eastAsia="SimSun"/>
                <w:bCs/>
                <w:color w:val="000000"/>
                <w:szCs w:val="28"/>
              </w:rPr>
              <w:t xml:space="preserve"> А</w:t>
            </w:r>
            <w:proofErr w:type="gramEnd"/>
            <w:r>
              <w:rPr>
                <w:rFonts w:eastAsia="SimSun"/>
                <w:bCs/>
                <w:color w:val="000000"/>
                <w:szCs w:val="28"/>
              </w:rPr>
              <w:t xml:space="preserve"> (информационное) Образец конструкции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20</w:t>
            </w:r>
          </w:p>
        </w:tc>
      </w:tr>
      <w:tr w:rsidR="007847D4">
        <w:tc>
          <w:tcPr>
            <w:tcW w:w="8721" w:type="dxa"/>
            <w:gridSpan w:val="2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Приложение</w:t>
            </w:r>
            <w:proofErr w:type="gramStart"/>
            <w:r>
              <w:rPr>
                <w:rFonts w:eastAsia="SimSun"/>
                <w:bCs/>
                <w:color w:val="000000"/>
                <w:szCs w:val="28"/>
              </w:rPr>
              <w:t xml:space="preserve"> В</w:t>
            </w:r>
            <w:proofErr w:type="gramEnd"/>
            <w:r>
              <w:rPr>
                <w:rFonts w:eastAsia="SimSun"/>
                <w:bCs/>
                <w:color w:val="000000"/>
                <w:szCs w:val="28"/>
              </w:rPr>
              <w:t xml:space="preserve"> (информационное) Выборочная таблица для баскетбольного оборудования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21</w:t>
            </w:r>
          </w:p>
        </w:tc>
      </w:tr>
      <w:tr w:rsidR="007847D4">
        <w:tc>
          <w:tcPr>
            <w:tcW w:w="8721" w:type="dxa"/>
            <w:gridSpan w:val="2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 xml:space="preserve">Приложение С (информационное) </w:t>
            </w:r>
            <w:proofErr w:type="gramStart"/>
            <w:r>
              <w:rPr>
                <w:rFonts w:eastAsia="SimSun"/>
                <w:bCs/>
                <w:color w:val="000000"/>
                <w:szCs w:val="28"/>
              </w:rPr>
              <w:t>А-</w:t>
            </w:r>
            <w:proofErr w:type="gramEnd"/>
            <w:r>
              <w:rPr>
                <w:rFonts w:eastAsia="SimSun"/>
                <w:bCs/>
                <w:color w:val="000000"/>
                <w:szCs w:val="28"/>
              </w:rPr>
              <w:t xml:space="preserve"> отклонение</w:t>
            </w:r>
          </w:p>
        </w:tc>
        <w:tc>
          <w:tcPr>
            <w:tcW w:w="634" w:type="dxa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22</w:t>
            </w:r>
          </w:p>
        </w:tc>
      </w:tr>
      <w:tr w:rsidR="007847D4">
        <w:tc>
          <w:tcPr>
            <w:tcW w:w="8721" w:type="dxa"/>
            <w:gridSpan w:val="2"/>
          </w:tcPr>
          <w:p w:rsidR="007847D4" w:rsidRDefault="002C5281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Приложение ДА (справочное) Сведения о соответствии государственных стандартов ссылочным европейским стандартам</w:t>
            </w:r>
          </w:p>
        </w:tc>
        <w:tc>
          <w:tcPr>
            <w:tcW w:w="634" w:type="dxa"/>
          </w:tcPr>
          <w:p w:rsidR="007847D4" w:rsidRDefault="007847D4">
            <w:pPr>
              <w:autoSpaceDE w:val="0"/>
              <w:autoSpaceDN w:val="0"/>
              <w:adjustRightInd w:val="0"/>
              <w:rPr>
                <w:rFonts w:eastAsia="SimSun"/>
                <w:bCs/>
                <w:color w:val="000000"/>
                <w:szCs w:val="28"/>
              </w:rPr>
            </w:pPr>
          </w:p>
        </w:tc>
      </w:tr>
    </w:tbl>
    <w:p w:rsidR="007847D4" w:rsidRDefault="007847D4">
      <w:pPr>
        <w:pStyle w:val="11"/>
        <w:spacing w:before="120" w:after="120"/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7847D4">
      <w:pPr>
        <w:rPr>
          <w:rStyle w:val="a4"/>
          <w:lang w:val="kk-KZ"/>
        </w:rPr>
      </w:pPr>
    </w:p>
    <w:p w:rsidR="007847D4" w:rsidRDefault="002C5281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Предисловие</w:t>
      </w:r>
    </w:p>
    <w:p w:rsidR="007847D4" w:rsidRDefault="007847D4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7847D4" w:rsidRDefault="002C5281">
      <w:pPr>
        <w:autoSpaceDE w:val="0"/>
        <w:autoSpaceDN w:val="0"/>
        <w:adjustRightInd w:val="0"/>
        <w:ind w:firstLine="720"/>
        <w:rPr>
          <w:rFonts w:eastAsia="SimSun"/>
          <w:color w:val="000000"/>
          <w:szCs w:val="28"/>
          <w:lang w:val="kk-KZ"/>
        </w:rPr>
      </w:pPr>
      <w:r>
        <w:rPr>
          <w:rFonts w:eastAsia="SimSun"/>
          <w:color w:val="000000"/>
          <w:szCs w:val="28"/>
        </w:rPr>
        <w:t xml:space="preserve">Настоящий </w:t>
      </w:r>
      <w:r>
        <w:rPr>
          <w:rFonts w:eastAsia="SimSun"/>
          <w:color w:val="000000"/>
          <w:szCs w:val="28"/>
        </w:rPr>
        <w:t>стандарт</w:t>
      </w:r>
      <w:bookmarkStart w:id="8" w:name="_GoBack"/>
      <w:bookmarkEnd w:id="8"/>
      <w:r>
        <w:rPr>
          <w:rFonts w:eastAsia="SimSun"/>
          <w:color w:val="000000"/>
          <w:szCs w:val="28"/>
        </w:rPr>
        <w:t xml:space="preserve"> (EN 1270:2005) был подготовлен Техническим комитетом </w:t>
      </w:r>
      <w:r>
        <w:rPr>
          <w:rFonts w:eastAsia="SimSun"/>
          <w:color w:val="000000"/>
          <w:szCs w:val="28"/>
          <w:lang w:val="en-US"/>
        </w:rPr>
        <w:t>CEN</w:t>
      </w:r>
      <w:r>
        <w:rPr>
          <w:rFonts w:eastAsia="SimSun"/>
          <w:color w:val="000000"/>
          <w:szCs w:val="28"/>
        </w:rPr>
        <w:t>/</w:t>
      </w:r>
      <w:proofErr w:type="gramStart"/>
      <w:r>
        <w:rPr>
          <w:rFonts w:eastAsia="SimSun"/>
          <w:color w:val="000000"/>
          <w:szCs w:val="28"/>
          <w:lang w:val="en-US"/>
        </w:rPr>
        <w:t>T</w:t>
      </w:r>
      <w:proofErr w:type="gramEnd"/>
      <w:r>
        <w:rPr>
          <w:rFonts w:eastAsia="SimSun"/>
          <w:color w:val="000000"/>
          <w:szCs w:val="28"/>
        </w:rPr>
        <w:t>К 136 «Спортивное, игровое и другое оздоровительное оборудование», секретариат которого находится в ведении DIN.</w:t>
      </w:r>
      <w:r>
        <w:rPr>
          <w:rFonts w:eastAsia="SimSun"/>
          <w:color w:val="000000"/>
          <w:szCs w:val="28"/>
          <w:lang w:val="kk-KZ"/>
        </w:rPr>
        <w:t xml:space="preserve"> </w:t>
      </w:r>
    </w:p>
    <w:p w:rsidR="007847D4" w:rsidRDefault="002C5281">
      <w:pPr>
        <w:autoSpaceDE w:val="0"/>
        <w:autoSpaceDN w:val="0"/>
        <w:adjustRightInd w:val="0"/>
        <w:ind w:firstLine="720"/>
        <w:rPr>
          <w:rFonts w:eastAsia="SimSun"/>
          <w:color w:val="000000"/>
          <w:szCs w:val="28"/>
          <w:lang w:val="kk-KZ"/>
        </w:rPr>
      </w:pPr>
      <w:r>
        <w:rPr>
          <w:rFonts w:eastAsia="SimSun"/>
          <w:color w:val="000000"/>
          <w:szCs w:val="28"/>
          <w:lang w:val="kk-KZ"/>
        </w:rPr>
        <w:t>Настоящий европейский стандарт должен</w:t>
      </w:r>
      <w:r>
        <w:rPr>
          <w:rFonts w:eastAsia="SimSun"/>
          <w:color w:val="000000"/>
          <w:szCs w:val="28"/>
          <w:lang w:val="kk-KZ"/>
        </w:rPr>
        <w:t xml:space="preserve"> получить статус национального стандарта либо путем опубликования идентичного текста, либо путем одобрения не позднее апреля 2006 года, а противоречащие национальные стандарты должны быть отменены не позднее апреля 2006 года.</w:t>
      </w:r>
    </w:p>
    <w:p w:rsidR="007847D4" w:rsidRDefault="002C5281">
      <w:pPr>
        <w:autoSpaceDE w:val="0"/>
        <w:autoSpaceDN w:val="0"/>
        <w:adjustRightInd w:val="0"/>
        <w:ind w:firstLine="720"/>
        <w:rPr>
          <w:rFonts w:eastAsia="SimSun"/>
          <w:color w:val="000000"/>
          <w:szCs w:val="28"/>
          <w:lang w:val="kk-KZ"/>
        </w:rPr>
      </w:pPr>
      <w:r>
        <w:rPr>
          <w:rFonts w:eastAsia="SimSun"/>
          <w:color w:val="000000"/>
          <w:szCs w:val="28"/>
          <w:lang w:val="kk-KZ"/>
        </w:rPr>
        <w:t>Касательно типов 1 и 2, Франци</w:t>
      </w:r>
      <w:r>
        <w:rPr>
          <w:rFonts w:eastAsia="SimSun"/>
          <w:color w:val="000000"/>
          <w:szCs w:val="28"/>
          <w:lang w:val="kk-KZ"/>
        </w:rPr>
        <w:t>я запросила национальное отклонение в связи с французским национальным законодательством (указ № 96-465 от 4 июня 1996 г.), смотреть приложение С.</w:t>
      </w:r>
    </w:p>
    <w:p w:rsidR="007847D4" w:rsidRDefault="002C5281">
      <w:pPr>
        <w:autoSpaceDE w:val="0"/>
        <w:autoSpaceDN w:val="0"/>
        <w:adjustRightInd w:val="0"/>
        <w:ind w:firstLine="720"/>
        <w:rPr>
          <w:rFonts w:eastAsia="SimSun"/>
          <w:color w:val="000000"/>
          <w:szCs w:val="28"/>
          <w:lang w:val="kk-KZ"/>
        </w:rPr>
      </w:pPr>
      <w:r>
        <w:rPr>
          <w:rFonts w:eastAsia="SimSun"/>
          <w:color w:val="000000"/>
          <w:szCs w:val="28"/>
          <w:lang w:val="kk-KZ"/>
        </w:rPr>
        <w:t>Настоящий документ заменяет EN 1270:1998.</w:t>
      </w:r>
    </w:p>
    <w:p w:rsidR="007847D4" w:rsidRDefault="002C5281">
      <w:pPr>
        <w:ind w:firstLine="720"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Согласно внутренним правилам CEN/CENELEC, национальные организации </w:t>
      </w:r>
      <w:r>
        <w:rPr>
          <w:rFonts w:eastAsia="SimSun"/>
          <w:color w:val="000000"/>
          <w:szCs w:val="28"/>
        </w:rPr>
        <w:t xml:space="preserve">по стандартизации следующих стран обязаны применять настоящий европейский стандарт: </w:t>
      </w:r>
      <w:proofErr w:type="gramStart"/>
      <w:r>
        <w:rPr>
          <w:rFonts w:eastAsia="SimSun"/>
          <w:color w:val="000000"/>
          <w:szCs w:val="28"/>
        </w:rPr>
        <w:t xml:space="preserve">Австрии, Бельгии, Кипра, Чешской Республики, Дании, Эстонии, Финляндии, Франции, Германии, Греции, Венгрии, Исландии, Ирландии, Италии, Латвии, Литвы, Люксембурга, Мальты, </w:t>
      </w:r>
      <w:r>
        <w:rPr>
          <w:rFonts w:eastAsia="SimSun"/>
          <w:color w:val="000000"/>
          <w:szCs w:val="28"/>
        </w:rPr>
        <w:t>Нидерландов, Норвегии, Польши, Португалии, Словакии, Словении, Испании, Швеции, Швейцарии и Великобритании.</w:t>
      </w:r>
      <w:proofErr w:type="gramEnd"/>
    </w:p>
    <w:p w:rsidR="007847D4" w:rsidRDefault="007847D4"/>
    <w:sectPr w:rsidR="007847D4" w:rsidSect="007847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134" w:header="709" w:footer="709" w:gutter="0"/>
      <w:pgNumType w:fmt="upperRoman"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7D4" w:rsidRDefault="002C5281">
      <w:r>
        <w:separator/>
      </w:r>
    </w:p>
  </w:endnote>
  <w:endnote w:type="continuationSeparator" w:id="0">
    <w:p w:rsidR="007847D4" w:rsidRDefault="002C5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altName w:val="Microsoft YaHei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950372"/>
      <w:docPartObj>
        <w:docPartGallery w:val="AutoText"/>
      </w:docPartObj>
    </w:sdtPr>
    <w:sdtContent>
      <w:p w:rsidR="007847D4" w:rsidRDefault="007847D4">
        <w:pPr>
          <w:pStyle w:val="ab"/>
        </w:pPr>
        <w:r>
          <w:fldChar w:fldCharType="begin"/>
        </w:r>
        <w:r w:rsidR="002C5281">
          <w:instrText>PAGE   \* MERGEFORMAT</w:instrText>
        </w:r>
        <w:r>
          <w:fldChar w:fldCharType="separate"/>
        </w:r>
        <w:r w:rsidR="002C5281">
          <w:rPr>
            <w:noProof/>
          </w:rPr>
          <w:t>II</w:t>
        </w:r>
        <w:r>
          <w:fldChar w:fldCharType="end"/>
        </w:r>
      </w:p>
    </w:sdtContent>
  </w:sdt>
  <w:p w:rsidR="007847D4" w:rsidRDefault="007847D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019685"/>
      <w:docPartObj>
        <w:docPartGallery w:val="AutoText"/>
      </w:docPartObj>
    </w:sdtPr>
    <w:sdtContent>
      <w:p w:rsidR="007847D4" w:rsidRDefault="007847D4">
        <w:pPr>
          <w:pStyle w:val="ab"/>
          <w:jc w:val="right"/>
        </w:pPr>
        <w:r>
          <w:fldChar w:fldCharType="begin"/>
        </w:r>
        <w:r w:rsidR="002C5281">
          <w:instrText>PAGE   \* MERGEFORMAT</w:instrText>
        </w:r>
        <w:r>
          <w:fldChar w:fldCharType="separate"/>
        </w:r>
        <w:r w:rsidR="002C5281">
          <w:rPr>
            <w:noProof/>
          </w:rPr>
          <w:t>III</w:t>
        </w:r>
        <w:r>
          <w:fldChar w:fldCharType="end"/>
        </w:r>
      </w:p>
    </w:sdtContent>
  </w:sdt>
  <w:p w:rsidR="007847D4" w:rsidRDefault="007847D4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7D4" w:rsidRDefault="002C5281">
      <w:r>
        <w:separator/>
      </w:r>
    </w:p>
  </w:footnote>
  <w:footnote w:type="continuationSeparator" w:id="0">
    <w:p w:rsidR="007847D4" w:rsidRDefault="002C5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D4" w:rsidRPr="002C5281" w:rsidRDefault="002C5281">
    <w:pPr>
      <w:jc w:val="left"/>
      <w:rPr>
        <w:b/>
        <w:bCs/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EN</w:t>
    </w:r>
    <w:r w:rsidRPr="002C5281">
      <w:rPr>
        <w:b/>
        <w:bCs/>
        <w:sz w:val="24"/>
      </w:rPr>
      <w:t xml:space="preserve"> </w:t>
    </w:r>
    <w:r w:rsidRPr="002C5281">
      <w:rPr>
        <w:b/>
        <w:bCs/>
        <w:sz w:val="24"/>
      </w:rPr>
      <w:t>1270</w:t>
    </w:r>
  </w:p>
  <w:p w:rsidR="007847D4" w:rsidRDefault="002C5281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D4" w:rsidRPr="002C5281" w:rsidRDefault="002C5281">
    <w:pPr>
      <w:jc w:val="right"/>
      <w:rPr>
        <w:b/>
        <w:bCs/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EN</w:t>
    </w:r>
    <w:r w:rsidRPr="002C5281">
      <w:rPr>
        <w:b/>
        <w:bCs/>
        <w:sz w:val="24"/>
      </w:rPr>
      <w:t xml:space="preserve"> 1270</w:t>
    </w:r>
  </w:p>
  <w:p w:rsidR="007847D4" w:rsidRDefault="002C5281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D4" w:rsidRDefault="002C5281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FEE"/>
    <w:multiLevelType w:val="multilevel"/>
    <w:tmpl w:val="2B871FEE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hint="default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883"/>
    <w:rsid w:val="000058A5"/>
    <w:rsid w:val="001747A8"/>
    <w:rsid w:val="002C5281"/>
    <w:rsid w:val="00464CD0"/>
    <w:rsid w:val="007847D4"/>
    <w:rsid w:val="009B22E7"/>
    <w:rsid w:val="009F6883"/>
    <w:rsid w:val="00A74DE7"/>
    <w:rsid w:val="00C83D10"/>
    <w:rsid w:val="2719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D4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rsid w:val="007847D4"/>
    <w:pPr>
      <w:keepNext/>
      <w:keepLines/>
      <w:spacing w:line="259" w:lineRule="auto"/>
      <w:jc w:val="both"/>
      <w:outlineLvl w:val="0"/>
    </w:pPr>
    <w:rPr>
      <w:rFonts w:ascii="Times New Roman" w:eastAsiaTheme="majorEastAsia" w:hAnsi="Times New Roman" w:cstheme="majorBidi"/>
      <w:kern w:val="2"/>
      <w:sz w:val="24"/>
      <w:szCs w:val="32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7847D4"/>
    <w:pPr>
      <w:jc w:val="both"/>
    </w:pPr>
    <w:rPr>
      <w:rFonts w:ascii="Times New Roman" w:hAnsi="Times New Roman"/>
      <w:kern w:val="2"/>
      <w:sz w:val="24"/>
      <w:szCs w:val="22"/>
      <w:lang w:val="zh-CN" w:eastAsia="en-US"/>
    </w:rPr>
  </w:style>
  <w:style w:type="character" w:styleId="a4">
    <w:name w:val="Hyperlink"/>
    <w:basedOn w:val="a1"/>
    <w:uiPriority w:val="99"/>
    <w:qFormat/>
    <w:rsid w:val="007847D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847D4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uiPriority w:val="39"/>
    <w:qFormat/>
    <w:rsid w:val="007847D4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a7">
    <w:name w:val="Body Text Indent"/>
    <w:basedOn w:val="a"/>
    <w:link w:val="a8"/>
    <w:qFormat/>
    <w:rsid w:val="007847D4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9">
    <w:name w:val="Title"/>
    <w:basedOn w:val="a"/>
    <w:link w:val="aa"/>
    <w:qFormat/>
    <w:rsid w:val="007847D4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footer"/>
    <w:basedOn w:val="a"/>
    <w:link w:val="ac"/>
    <w:uiPriority w:val="99"/>
    <w:unhideWhenUsed/>
    <w:rsid w:val="007847D4"/>
    <w:pPr>
      <w:tabs>
        <w:tab w:val="center" w:pos="4677"/>
        <w:tab w:val="right" w:pos="9355"/>
      </w:tabs>
    </w:pPr>
  </w:style>
  <w:style w:type="paragraph" w:styleId="ad">
    <w:name w:val="Subtitle"/>
    <w:basedOn w:val="a"/>
    <w:link w:val="ae"/>
    <w:qFormat/>
    <w:rsid w:val="007847D4"/>
    <w:pPr>
      <w:widowControl w:val="0"/>
      <w:jc w:val="center"/>
    </w:pPr>
    <w:rPr>
      <w:b/>
      <w:bCs/>
    </w:rPr>
  </w:style>
  <w:style w:type="table" w:styleId="af">
    <w:name w:val="Table Grid"/>
    <w:basedOn w:val="a2"/>
    <w:uiPriority w:val="59"/>
    <w:qFormat/>
    <w:rsid w:val="007847D4"/>
    <w:rPr>
      <w:rFonts w:ascii="Times New Roman" w:eastAsia="SimSun" w:hAnsi="Times New Roman" w:cs="Times New Roman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7847D4"/>
    <w:rPr>
      <w:rFonts w:ascii="Times New Roman" w:eastAsiaTheme="majorEastAsia" w:hAnsi="Times New Roman" w:cstheme="majorBidi"/>
      <w:sz w:val="24"/>
      <w:szCs w:val="32"/>
    </w:rPr>
  </w:style>
  <w:style w:type="character" w:customStyle="1" w:styleId="a8">
    <w:name w:val="Основной текст с отступом Знак"/>
    <w:basedOn w:val="a1"/>
    <w:link w:val="a7"/>
    <w:qFormat/>
    <w:rsid w:val="007847D4"/>
    <w:rPr>
      <w:rFonts w:ascii="Arial" w:eastAsia="Times New Roman" w:hAnsi="Arial" w:cs="Arial"/>
      <w:kern w:val="0"/>
      <w:sz w:val="28"/>
      <w:szCs w:val="28"/>
      <w:lang w:val="ru-RU" w:eastAsia="ru-RU"/>
    </w:rPr>
  </w:style>
  <w:style w:type="character" w:customStyle="1" w:styleId="aa">
    <w:name w:val="Название Знак"/>
    <w:basedOn w:val="a1"/>
    <w:link w:val="a9"/>
    <w:qFormat/>
    <w:rsid w:val="007847D4"/>
    <w:rPr>
      <w:rFonts w:ascii="Times New Roman CYR" w:eastAsia="Times New Roman" w:hAnsi="Times New Roman CYR" w:cs="Times New Roman CYR"/>
      <w:b/>
      <w:bCs/>
      <w:kern w:val="0"/>
      <w:sz w:val="28"/>
      <w:szCs w:val="28"/>
      <w:lang w:val="ru-RU" w:eastAsia="ru-RU"/>
    </w:rPr>
  </w:style>
  <w:style w:type="character" w:customStyle="1" w:styleId="ae">
    <w:name w:val="Подзаголовок Знак"/>
    <w:basedOn w:val="a1"/>
    <w:link w:val="ad"/>
    <w:rsid w:val="007847D4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paragraph" w:customStyle="1" w:styleId="12">
    <w:name w:val="Обычный1"/>
    <w:qFormat/>
    <w:rsid w:val="007847D4"/>
    <w:pPr>
      <w:snapToGrid w:val="0"/>
    </w:pPr>
    <w:rPr>
      <w:rFonts w:ascii="Times New Roman" w:eastAsia="Times New Roman" w:hAnsi="Times New Roman" w:cs="Times New Roman"/>
      <w:sz w:val="24"/>
    </w:rPr>
  </w:style>
  <w:style w:type="paragraph" w:customStyle="1" w:styleId="2">
    <w:name w:val="Обычный2"/>
    <w:qFormat/>
    <w:rsid w:val="007847D4"/>
    <w:pPr>
      <w:snapToGrid w:val="0"/>
    </w:pPr>
    <w:rPr>
      <w:rFonts w:ascii="Times New Roman" w:eastAsia="Times New Roman" w:hAnsi="Times New Roman" w:cs="Times New Roman"/>
      <w:sz w:val="24"/>
    </w:rPr>
  </w:style>
  <w:style w:type="character" w:customStyle="1" w:styleId="a6">
    <w:name w:val="Верхний колонтитул Знак"/>
    <w:basedOn w:val="a1"/>
    <w:link w:val="a5"/>
    <w:uiPriority w:val="99"/>
    <w:qFormat/>
    <w:rsid w:val="007847D4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ac">
    <w:name w:val="Нижний колонтитул Знак"/>
    <w:basedOn w:val="a1"/>
    <w:link w:val="ab"/>
    <w:uiPriority w:val="99"/>
    <w:qFormat/>
    <w:rsid w:val="007847D4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9BA23-16DE-4C7A-B24F-0E7FB4449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659</Words>
  <Characters>3760</Characters>
  <Application>Microsoft Office Word</Application>
  <DocSecurity>0</DocSecurity>
  <Lines>31</Lines>
  <Paragraphs>8</Paragraphs>
  <ScaleCrop>false</ScaleCrop>
  <Company>DG Win&amp;Soft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Adilet Turumov</dc:creator>
  <cp:lastModifiedBy>Пользователь Windows</cp:lastModifiedBy>
  <cp:revision>2</cp:revision>
  <dcterms:created xsi:type="dcterms:W3CDTF">2023-05-19T10:24:00Z</dcterms:created>
  <dcterms:modified xsi:type="dcterms:W3CDTF">2023-05-26T11:45:00Z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7F5AA6D5553A48CBBDAC62625EFB3876</vt:lpwstr>
  </property>
</Properties>
</file>